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B81FD" w14:textId="45F4AE1A" w:rsidR="00776B81" w:rsidRPr="008C7DC0" w:rsidRDefault="003B72BF">
      <w:pPr>
        <w:rPr>
          <w:rFonts w:ascii="Times New Roman" w:hAnsi="Times New Roman" w:cs="Times New Roman"/>
          <w:sz w:val="21"/>
          <w:szCs w:val="21"/>
        </w:rPr>
      </w:pPr>
      <w:r w:rsidRPr="008C7DC0">
        <w:rPr>
          <w:rFonts w:ascii="Times New Roman" w:hAnsi="Times New Roman" w:cs="Times New Roman"/>
          <w:noProof/>
          <w:sz w:val="21"/>
          <w:szCs w:val="21"/>
        </w:rPr>
        <mc:AlternateContent>
          <mc:Choice Requires="wps">
            <w:drawing>
              <wp:anchor distT="0" distB="0" distL="114300" distR="114300" simplePos="0" relativeHeight="251666432" behindDoc="0" locked="0" layoutInCell="1" allowOverlap="1" wp14:anchorId="4377C8E6" wp14:editId="58EEBA0F">
                <wp:simplePos x="0" y="0"/>
                <wp:positionH relativeFrom="margin">
                  <wp:posOffset>2802467</wp:posOffset>
                </wp:positionH>
                <wp:positionV relativeFrom="paragraph">
                  <wp:posOffset>-93133</wp:posOffset>
                </wp:positionV>
                <wp:extent cx="4513791" cy="955040"/>
                <wp:effectExtent l="0" t="0" r="0" b="0"/>
                <wp:wrapNone/>
                <wp:docPr id="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3791" cy="95504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2CE78D45" w14:textId="6CEB0879" w:rsidR="00EC159D" w:rsidRPr="003F5005" w:rsidRDefault="00E12EE2" w:rsidP="00E12EE2">
                            <w:pPr>
                              <w:widowControl w:val="0"/>
                              <w:spacing w:after="0" w:line="1360" w:lineRule="exact"/>
                              <w:jc w:val="center"/>
                              <w:rPr>
                                <w:rFonts w:ascii="Gautami" w:hAnsi="Gautami" w:cs="Gautami"/>
                                <w:color w:val="FFFFFE"/>
                                <w:w w:val="90"/>
                                <w:sz w:val="84"/>
                                <w:szCs w:val="84"/>
                                <w:lang w:val="en"/>
                              </w:rPr>
                            </w:pPr>
                            <w:r w:rsidRPr="003F5005">
                              <w:rPr>
                                <w:rFonts w:ascii="Gautami" w:hAnsi="Gautami" w:cs="Gautami"/>
                                <w:color w:val="FFFFFE"/>
                                <w:w w:val="90"/>
                                <w:sz w:val="84"/>
                                <w:szCs w:val="84"/>
                                <w:lang w:val="en"/>
                              </w:rPr>
                              <w:t>Sirmium Capital</w:t>
                            </w:r>
                            <w:r w:rsidR="003B72BF">
                              <w:rPr>
                                <w:rFonts w:ascii="Gautami" w:hAnsi="Gautami" w:cs="Gautami"/>
                                <w:color w:val="FFFFFE"/>
                                <w:w w:val="90"/>
                                <w:sz w:val="84"/>
                                <w:szCs w:val="84"/>
                                <w:lang w:val="en"/>
                              </w:rPr>
                              <w:t>, LLC</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7C8E6" id="_x0000_t202" coordsize="21600,21600" o:spt="202" path="m,l,21600r21600,l21600,xe">
                <v:stroke joinstyle="miter"/>
                <v:path gradientshapeok="t" o:connecttype="rect"/>
              </v:shapetype>
              <v:shape id="Text Box 33" o:spid="_x0000_s1026" type="#_x0000_t202" style="position:absolute;margin-left:220.65pt;margin-top:-7.35pt;width:355.4pt;height:75.2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" filled="f" fillcolor="#fffffe" stroked="f" strokecolor="#212120" insetpen="t">
                <v:textbox inset="2.88pt,2.88pt,2.88pt,2.88pt">
                  <w:txbxContent>
                    <w:p w14:paraId="2CE78D45" w14:textId="6CEB0879" w:rsidR="00EC159D" w:rsidRPr="003F5005" w:rsidRDefault="00E12EE2" w:rsidP="00E12EE2">
                      <w:pPr>
                        <w:widowControl w:val="0"/>
                        <w:spacing w:after="0" w:line="1360" w:lineRule="exact"/>
                        <w:jc w:val="center"/>
                        <w:rPr>
                          <w:rFonts w:ascii="Gautami" w:hAnsi="Gautami" w:cs="Gautami"/>
                          <w:color w:val="FFFFFE"/>
                          <w:w w:val="90"/>
                          <w:sz w:val="84"/>
                          <w:szCs w:val="84"/>
                          <w:lang w:val="en"/>
                        </w:rPr>
                      </w:pPr>
                      <w:r w:rsidRPr="003F5005">
                        <w:rPr>
                          <w:rFonts w:ascii="Gautami" w:hAnsi="Gautami" w:cs="Gautami"/>
                          <w:color w:val="FFFFFE"/>
                          <w:w w:val="90"/>
                          <w:sz w:val="84"/>
                          <w:szCs w:val="84"/>
                          <w:lang w:val="en"/>
                        </w:rPr>
                        <w:t>Sirmium Capital</w:t>
                      </w:r>
                      <w:r w:rsidR="003B72BF">
                        <w:rPr>
                          <w:rFonts w:ascii="Gautami" w:hAnsi="Gautami" w:cs="Gautami"/>
                          <w:color w:val="FFFFFE"/>
                          <w:w w:val="90"/>
                          <w:sz w:val="84"/>
                          <w:szCs w:val="84"/>
                          <w:lang w:val="en"/>
                        </w:rPr>
                        <w:t>, LLC</w:t>
                      </w:r>
                    </w:p>
                  </w:txbxContent>
                </v:textbox>
                <w10:wrap anchorx="margin"/>
              </v:shape>
            </w:pict>
          </mc:Fallback>
        </mc:AlternateContent>
      </w:r>
      <w:r w:rsidR="0009421B" w:rsidRPr="008C7DC0">
        <w:rPr>
          <w:rFonts w:ascii="Times New Roman" w:hAnsi="Times New Roman" w:cs="Times New Roman"/>
          <w:noProof/>
          <w:sz w:val="21"/>
          <w:szCs w:val="21"/>
        </w:rPr>
        <mc:AlternateContent>
          <mc:Choice Requires="wps">
            <w:drawing>
              <wp:anchor distT="0" distB="0" distL="114300" distR="114300" simplePos="0" relativeHeight="251656191" behindDoc="0" locked="0" layoutInCell="1" allowOverlap="1" wp14:anchorId="4BA9D6A0" wp14:editId="380969B9">
                <wp:simplePos x="0" y="0"/>
                <wp:positionH relativeFrom="margin">
                  <wp:align>right</wp:align>
                </wp:positionH>
                <wp:positionV relativeFrom="paragraph">
                  <wp:posOffset>0</wp:posOffset>
                </wp:positionV>
                <wp:extent cx="7319645" cy="1286933"/>
                <wp:effectExtent l="0" t="0" r="0" b="0"/>
                <wp:wrapNone/>
                <wp:docPr id="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9645" cy="1286933"/>
                        </a:xfrm>
                        <a:custGeom>
                          <a:avLst/>
                          <a:gdLst>
                            <a:gd name="T0" fmla="*/ 0 w 2448"/>
                            <a:gd name="T1" fmla="*/ 0 h 650"/>
                            <a:gd name="T2" fmla="*/ 0 w 2448"/>
                            <a:gd name="T3" fmla="*/ 650 h 650"/>
                            <a:gd name="T4" fmla="*/ 2448 w 2448"/>
                            <a:gd name="T5" fmla="*/ 466 h 650"/>
                            <a:gd name="T6" fmla="*/ 2448 w 2448"/>
                            <a:gd name="T7" fmla="*/ 0 h 650"/>
                            <a:gd name="T8" fmla="*/ 0 w 2448"/>
                            <a:gd name="T9" fmla="*/ 0 h 650"/>
                          </a:gdLst>
                          <a:ahLst/>
                          <a:cxnLst>
                            <a:cxn ang="0">
                              <a:pos x="T0" y="T1"/>
                            </a:cxn>
                            <a:cxn ang="0">
                              <a:pos x="T2" y="T3"/>
                            </a:cxn>
                            <a:cxn ang="0">
                              <a:pos x="T4" y="T5"/>
                            </a:cxn>
                            <a:cxn ang="0">
                              <a:pos x="T6" y="T7"/>
                            </a:cxn>
                            <a:cxn ang="0">
                              <a:pos x="T8" y="T9"/>
                            </a:cxn>
                          </a:cxnLst>
                          <a:rect l="0" t="0" r="r" b="b"/>
                          <a:pathLst>
                            <a:path w="2448" h="650">
                              <a:moveTo>
                                <a:pt x="0" y="0"/>
                              </a:moveTo>
                              <a:cubicBezTo>
                                <a:pt x="0" y="650"/>
                                <a:pt x="0" y="650"/>
                                <a:pt x="0" y="650"/>
                              </a:cubicBezTo>
                              <a:cubicBezTo>
                                <a:pt x="914" y="423"/>
                                <a:pt x="1786" y="414"/>
                                <a:pt x="2448" y="466"/>
                              </a:cubicBezTo>
                              <a:cubicBezTo>
                                <a:pt x="2448" y="0"/>
                                <a:pt x="2448" y="0"/>
                                <a:pt x="2448" y="0"/>
                              </a:cubicBezTo>
                              <a:lnTo>
                                <a:pt x="0" y="0"/>
                              </a:lnTo>
                              <a:close/>
                            </a:path>
                          </a:pathLst>
                        </a:custGeom>
                        <a:gradFill rotWithShape="1">
                          <a:gsLst>
                            <a:gs pos="49000">
                              <a:schemeClr val="accent1">
                                <a:lumMod val="50000"/>
                              </a:schemeClr>
                            </a:gs>
                            <a:gs pos="99000">
                              <a:schemeClr val="bg1"/>
                            </a:gs>
                          </a:gsLst>
                          <a:lin ang="5400000" scaled="1"/>
                        </a:gradFill>
                        <a:ln>
                          <a:noFill/>
                        </a:ln>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E894E2" id="Freeform 6" o:spid="_x0000_s1026" style="position:absolute;margin-left:525.15pt;margin-top:0;width:576.35pt;height:101.35pt;z-index:25165619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2448,6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" path="m,c,650,,650,,650,914,423,1786,414,2448,466,2448,,2448,,2448,l,xe" fillcolor="#1f3763 [1604]" stroked="f">
                <v:fill color2="white [3212]" rotate="t" colors="0 #203864;32113f #203864" focus="100%" type="gradient"/>
                <v:path arrowok="t" o:connecttype="custom" o:connectlocs="0,0;0,1286933;7319645,922632;7319645,0;0,0" o:connectangles="0,0,0,0,0"/>
                <w10:wrap anchorx="margin"/>
              </v:shape>
            </w:pict>
          </mc:Fallback>
        </mc:AlternateContent>
      </w:r>
    </w:p>
    <w:p w14:paraId="29AA482F" w14:textId="77777777" w:rsidR="00007B1D" w:rsidRPr="008C7DC0" w:rsidRDefault="00007B1D">
      <w:pPr>
        <w:rPr>
          <w:rFonts w:ascii="Times New Roman" w:hAnsi="Times New Roman" w:cs="Times New Roman"/>
          <w:sz w:val="21"/>
          <w:szCs w:val="21"/>
        </w:rPr>
      </w:pPr>
    </w:p>
    <w:p w14:paraId="764E402C" w14:textId="78CF68D0" w:rsidR="00EC3B79" w:rsidRPr="008C7DC0" w:rsidRDefault="00EC3B79">
      <w:pPr>
        <w:rPr>
          <w:rFonts w:ascii="Times New Roman" w:hAnsi="Times New Roman" w:cs="Times New Roman"/>
          <w:sz w:val="21"/>
          <w:szCs w:val="21"/>
        </w:rPr>
      </w:pPr>
    </w:p>
    <w:p w14:paraId="11792120" w14:textId="2AC4BA13" w:rsidR="006F2F4B" w:rsidRPr="008C7DC0" w:rsidRDefault="006F2F4B">
      <w:pPr>
        <w:rPr>
          <w:rFonts w:ascii="Times New Roman" w:hAnsi="Times New Roman" w:cs="Times New Roman"/>
          <w:sz w:val="21"/>
          <w:szCs w:val="21"/>
        </w:rPr>
      </w:pPr>
    </w:p>
    <w:p w14:paraId="4D6A66DE" w14:textId="7BC892FA" w:rsidR="006F2F4B" w:rsidRPr="008C7DC0" w:rsidRDefault="006F2F4B">
      <w:pPr>
        <w:rPr>
          <w:rFonts w:ascii="Times New Roman" w:hAnsi="Times New Roman" w:cs="Times New Roman"/>
          <w:sz w:val="21"/>
          <w:szCs w:val="21"/>
        </w:rPr>
      </w:pPr>
    </w:p>
    <w:p w14:paraId="63E7656A" w14:textId="77777777" w:rsidR="003B72BF" w:rsidRPr="008C7DC0" w:rsidRDefault="003B72BF" w:rsidP="008C7DC0">
      <w:pPr>
        <w:spacing w:before="100" w:beforeAutospacing="1" w:after="100" w:afterAutospacing="1" w:line="240" w:lineRule="auto"/>
        <w:jc w:val="center"/>
        <w:outlineLvl w:val="1"/>
        <w:rPr>
          <w:rFonts w:ascii="Times New Roman" w:eastAsia="Times New Roman" w:hAnsi="Times New Roman" w:cs="Times New Roman"/>
          <w:b/>
          <w:bCs/>
          <w:sz w:val="40"/>
          <w:szCs w:val="40"/>
        </w:rPr>
      </w:pPr>
      <w:r w:rsidRPr="008C7DC0">
        <w:rPr>
          <w:rFonts w:ascii="Times New Roman" w:eastAsia="Times New Roman" w:hAnsi="Times New Roman" w:cs="Times New Roman"/>
          <w:b/>
          <w:bCs/>
          <w:sz w:val="40"/>
          <w:szCs w:val="40"/>
        </w:rPr>
        <w:t>Investment Strategy Factsheet</w:t>
      </w:r>
    </w:p>
    <w:p w14:paraId="18BC8EBC" w14:textId="30C26AF5" w:rsidR="003B72BF" w:rsidRPr="008C7DC0" w:rsidRDefault="003B72BF" w:rsidP="003B72BF">
      <w:pPr>
        <w:spacing w:before="100" w:beforeAutospacing="1" w:after="100" w:afterAutospacing="1" w:line="240" w:lineRule="auto"/>
        <w:rPr>
          <w:rFonts w:ascii="Times New Roman" w:eastAsia="Times New Roman" w:hAnsi="Times New Roman" w:cs="Times New Roman"/>
        </w:rPr>
      </w:pPr>
      <w:r w:rsidRPr="008C7DC0">
        <w:rPr>
          <w:rFonts w:ascii="Times New Roman" w:eastAsia="Times New Roman" w:hAnsi="Times New Roman" w:cs="Times New Roman"/>
          <w:b/>
          <w:bCs/>
        </w:rPr>
        <w:t>Sirmium Capital, LLC</w:t>
      </w:r>
      <w:r w:rsidRPr="008C7DC0">
        <w:rPr>
          <w:rFonts w:ascii="Times New Roman" w:eastAsia="Times New Roman" w:hAnsi="Times New Roman" w:cs="Times New Roman"/>
        </w:rPr>
        <w:t xml:space="preserve"> </w:t>
      </w:r>
      <w:r w:rsidR="008C7DC0" w:rsidRPr="008C7DC0">
        <w:rPr>
          <w:rFonts w:ascii="Times New Roman" w:eastAsia="Times New Roman" w:hAnsi="Times New Roman" w:cs="Times New Roman"/>
        </w:rPr>
        <w:t>is an independent registered investment advisory firm focused on disciplined, long-term investing. We partner with clients to build thoughtfully constructed portfolios designed to preserve capital, manage risk, and compound wealth over time. Our approach emphasizes high-quality businesses, prudent diversification, and a clear alignment between portfolio risk and client objectives.</w:t>
      </w:r>
      <w:r w:rsidR="00294381">
        <w:rPr>
          <w:rFonts w:ascii="Times New Roman" w:eastAsia="Times New Roman" w:hAnsi="Times New Roman" w:cs="Times New Roman"/>
          <w:noProof/>
        </w:rPr>
        <w:pict w14:anchorId="4A4D1A80">
          <v:rect id="_x0000_i1028" alt="" style="width:468pt;height:.05pt;mso-width-percent:0;mso-height-percent:0;mso-width-percent:0;mso-height-percent:0" o:hralign="center" o:hrstd="t" o:hr="t" fillcolor="#a0a0a0" stroked="f"/>
        </w:pict>
      </w:r>
      <w:r w:rsidRPr="008C7DC0">
        <w:rPr>
          <w:rFonts w:ascii="Times New Roman" w:eastAsia="Times New Roman" w:hAnsi="Times New Roman" w:cs="Times New Roman"/>
          <w:b/>
          <w:bCs/>
          <w:sz w:val="24"/>
          <w:szCs w:val="24"/>
        </w:rPr>
        <w:t>Portfolio Models &amp; Risk Profiles</w:t>
      </w:r>
    </w:p>
    <w:p w14:paraId="14BC769A" w14:textId="77777777" w:rsidR="003B72BF" w:rsidRPr="008C7DC0" w:rsidRDefault="003B72BF" w:rsidP="003B72BF">
      <w:pPr>
        <w:spacing w:before="100" w:beforeAutospacing="1" w:after="100" w:afterAutospacing="1" w:line="240" w:lineRule="auto"/>
        <w:rPr>
          <w:rFonts w:ascii="Times New Roman" w:eastAsia="Times New Roman" w:hAnsi="Times New Roman" w:cs="Times New Roman"/>
        </w:rPr>
      </w:pPr>
      <w:r w:rsidRPr="008C7DC0">
        <w:rPr>
          <w:rFonts w:ascii="Times New Roman" w:eastAsia="Times New Roman" w:hAnsi="Times New Roman" w:cs="Times New Roman"/>
        </w:rPr>
        <w:t>Sirmium Capital offers five portfolio models that serve as structural guidelines. Actual allocations may vary based on client-specific considerations.</w:t>
      </w:r>
    </w:p>
    <w:tbl>
      <w:tblPr>
        <w:tblStyle w:val="TableGrid"/>
        <w:tblW w:w="0" w:type="auto"/>
        <w:tblLook w:val="04A0" w:firstRow="1" w:lastRow="0" w:firstColumn="1" w:lastColumn="0" w:noHBand="0" w:noVBand="1"/>
      </w:tblPr>
      <w:tblGrid>
        <w:gridCol w:w="1047"/>
        <w:gridCol w:w="2275"/>
        <w:gridCol w:w="1060"/>
        <w:gridCol w:w="2141"/>
        <w:gridCol w:w="1365"/>
        <w:gridCol w:w="1463"/>
        <w:gridCol w:w="1891"/>
      </w:tblGrid>
      <w:tr w:rsidR="003B72BF" w:rsidRPr="008C7DC0" w14:paraId="7A5C6620" w14:textId="77777777" w:rsidTr="003B72BF">
        <w:tc>
          <w:tcPr>
            <w:tcW w:w="0" w:type="auto"/>
            <w:hideMark/>
          </w:tcPr>
          <w:p w14:paraId="1D1E9D2E" w14:textId="77777777" w:rsidR="003B72BF" w:rsidRPr="008C7DC0" w:rsidRDefault="003B72BF" w:rsidP="003B72BF">
            <w:pPr>
              <w:jc w:val="center"/>
              <w:rPr>
                <w:rFonts w:ascii="Times New Roman" w:eastAsia="Times New Roman" w:hAnsi="Times New Roman" w:cs="Times New Roman"/>
                <w:b/>
                <w:bCs/>
              </w:rPr>
            </w:pPr>
            <w:r w:rsidRPr="008C7DC0">
              <w:rPr>
                <w:rFonts w:ascii="Times New Roman" w:eastAsia="Times New Roman" w:hAnsi="Times New Roman" w:cs="Times New Roman"/>
                <w:b/>
                <w:bCs/>
              </w:rPr>
              <w:t>Portfolio</w:t>
            </w:r>
          </w:p>
        </w:tc>
        <w:tc>
          <w:tcPr>
            <w:tcW w:w="0" w:type="auto"/>
            <w:hideMark/>
          </w:tcPr>
          <w:p w14:paraId="3A80C022" w14:textId="77777777" w:rsidR="003B72BF" w:rsidRPr="008C7DC0" w:rsidRDefault="003B72BF" w:rsidP="003B72BF">
            <w:pPr>
              <w:jc w:val="center"/>
              <w:rPr>
                <w:rFonts w:ascii="Times New Roman" w:eastAsia="Times New Roman" w:hAnsi="Times New Roman" w:cs="Times New Roman"/>
                <w:b/>
                <w:bCs/>
              </w:rPr>
            </w:pPr>
            <w:r w:rsidRPr="008C7DC0">
              <w:rPr>
                <w:rFonts w:ascii="Times New Roman" w:eastAsia="Times New Roman" w:hAnsi="Times New Roman" w:cs="Times New Roman"/>
                <w:b/>
                <w:bCs/>
              </w:rPr>
              <w:t>Risk Level</w:t>
            </w:r>
          </w:p>
        </w:tc>
        <w:tc>
          <w:tcPr>
            <w:tcW w:w="0" w:type="auto"/>
            <w:hideMark/>
          </w:tcPr>
          <w:p w14:paraId="7857AAB2" w14:textId="77777777" w:rsidR="003B72BF" w:rsidRPr="008C7DC0" w:rsidRDefault="003B72BF" w:rsidP="003B72BF">
            <w:pPr>
              <w:jc w:val="center"/>
              <w:rPr>
                <w:rFonts w:ascii="Times New Roman" w:eastAsia="Times New Roman" w:hAnsi="Times New Roman" w:cs="Times New Roman"/>
                <w:b/>
                <w:bCs/>
              </w:rPr>
            </w:pPr>
            <w:r w:rsidRPr="008C7DC0">
              <w:rPr>
                <w:rFonts w:ascii="Times New Roman" w:eastAsia="Times New Roman" w:hAnsi="Times New Roman" w:cs="Times New Roman"/>
                <w:b/>
                <w:bCs/>
              </w:rPr>
              <w:t>Equities</w:t>
            </w:r>
          </w:p>
        </w:tc>
        <w:tc>
          <w:tcPr>
            <w:tcW w:w="0" w:type="auto"/>
            <w:hideMark/>
          </w:tcPr>
          <w:p w14:paraId="563C6067" w14:textId="77777777" w:rsidR="003B72BF" w:rsidRPr="008C7DC0" w:rsidRDefault="003B72BF" w:rsidP="003B72BF">
            <w:pPr>
              <w:jc w:val="center"/>
              <w:rPr>
                <w:rFonts w:ascii="Times New Roman" w:eastAsia="Times New Roman" w:hAnsi="Times New Roman" w:cs="Times New Roman"/>
                <w:b/>
                <w:bCs/>
              </w:rPr>
            </w:pPr>
            <w:r w:rsidRPr="008C7DC0">
              <w:rPr>
                <w:rFonts w:ascii="Times New Roman" w:eastAsia="Times New Roman" w:hAnsi="Times New Roman" w:cs="Times New Roman"/>
                <w:b/>
                <w:bCs/>
              </w:rPr>
              <w:t>Fixed Income / Cash</w:t>
            </w:r>
          </w:p>
        </w:tc>
        <w:tc>
          <w:tcPr>
            <w:tcW w:w="0" w:type="auto"/>
            <w:hideMark/>
          </w:tcPr>
          <w:p w14:paraId="654B456E" w14:textId="77777777" w:rsidR="003B72BF" w:rsidRPr="008C7DC0" w:rsidRDefault="003B72BF" w:rsidP="003B72BF">
            <w:pPr>
              <w:jc w:val="center"/>
              <w:rPr>
                <w:rFonts w:ascii="Times New Roman" w:eastAsia="Times New Roman" w:hAnsi="Times New Roman" w:cs="Times New Roman"/>
                <w:b/>
                <w:bCs/>
              </w:rPr>
            </w:pPr>
            <w:r w:rsidRPr="008C7DC0">
              <w:rPr>
                <w:rFonts w:ascii="Times New Roman" w:eastAsia="Times New Roman" w:hAnsi="Times New Roman" w:cs="Times New Roman"/>
                <w:b/>
                <w:bCs/>
              </w:rPr>
              <w:t>Alternatives</w:t>
            </w:r>
          </w:p>
        </w:tc>
        <w:tc>
          <w:tcPr>
            <w:tcW w:w="0" w:type="auto"/>
            <w:hideMark/>
          </w:tcPr>
          <w:p w14:paraId="13B36A06" w14:textId="77777777" w:rsidR="003B72BF" w:rsidRPr="008C7DC0" w:rsidRDefault="003B72BF" w:rsidP="003B72BF">
            <w:pPr>
              <w:jc w:val="center"/>
              <w:rPr>
                <w:rFonts w:ascii="Times New Roman" w:eastAsia="Times New Roman" w:hAnsi="Times New Roman" w:cs="Times New Roman"/>
                <w:b/>
                <w:bCs/>
              </w:rPr>
            </w:pPr>
            <w:r w:rsidRPr="008C7DC0">
              <w:rPr>
                <w:rFonts w:ascii="Times New Roman" w:eastAsia="Times New Roman" w:hAnsi="Times New Roman" w:cs="Times New Roman"/>
                <w:b/>
                <w:bCs/>
              </w:rPr>
              <w:t># of Positions</w:t>
            </w:r>
          </w:p>
        </w:tc>
        <w:tc>
          <w:tcPr>
            <w:tcW w:w="0" w:type="auto"/>
            <w:hideMark/>
          </w:tcPr>
          <w:p w14:paraId="64F73295" w14:textId="77777777" w:rsidR="003B72BF" w:rsidRPr="008C7DC0" w:rsidRDefault="003B72BF" w:rsidP="003B72BF">
            <w:pPr>
              <w:jc w:val="center"/>
              <w:rPr>
                <w:rFonts w:ascii="Times New Roman" w:eastAsia="Times New Roman" w:hAnsi="Times New Roman" w:cs="Times New Roman"/>
                <w:b/>
                <w:bCs/>
              </w:rPr>
            </w:pPr>
            <w:r w:rsidRPr="008C7DC0">
              <w:rPr>
                <w:rFonts w:ascii="Times New Roman" w:eastAsia="Times New Roman" w:hAnsi="Times New Roman" w:cs="Times New Roman"/>
                <w:b/>
                <w:bCs/>
              </w:rPr>
              <w:t>Max Position Size</w:t>
            </w:r>
          </w:p>
        </w:tc>
      </w:tr>
      <w:tr w:rsidR="003B72BF" w:rsidRPr="008C7DC0" w14:paraId="71C7BE46" w14:textId="77777777" w:rsidTr="003B72BF">
        <w:tc>
          <w:tcPr>
            <w:tcW w:w="0" w:type="auto"/>
            <w:hideMark/>
          </w:tcPr>
          <w:p w14:paraId="45C6DE53"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1</w:t>
            </w:r>
          </w:p>
        </w:tc>
        <w:tc>
          <w:tcPr>
            <w:tcW w:w="0" w:type="auto"/>
            <w:hideMark/>
          </w:tcPr>
          <w:p w14:paraId="794BE400"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Conservative</w:t>
            </w:r>
          </w:p>
        </w:tc>
        <w:tc>
          <w:tcPr>
            <w:tcW w:w="0" w:type="auto"/>
            <w:hideMark/>
          </w:tcPr>
          <w:p w14:paraId="6F76C9A3"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20–30%</w:t>
            </w:r>
          </w:p>
        </w:tc>
        <w:tc>
          <w:tcPr>
            <w:tcW w:w="0" w:type="auto"/>
            <w:hideMark/>
          </w:tcPr>
          <w:p w14:paraId="3B2252F3"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60–70%</w:t>
            </w:r>
          </w:p>
        </w:tc>
        <w:tc>
          <w:tcPr>
            <w:tcW w:w="0" w:type="auto"/>
            <w:hideMark/>
          </w:tcPr>
          <w:p w14:paraId="2ED4FAF0"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0–10%</w:t>
            </w:r>
          </w:p>
        </w:tc>
        <w:tc>
          <w:tcPr>
            <w:tcW w:w="0" w:type="auto"/>
            <w:hideMark/>
          </w:tcPr>
          <w:p w14:paraId="3BAB87AE"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20–30</w:t>
            </w:r>
          </w:p>
        </w:tc>
        <w:tc>
          <w:tcPr>
            <w:tcW w:w="0" w:type="auto"/>
            <w:hideMark/>
          </w:tcPr>
          <w:p w14:paraId="3E80E46B"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3–5%</w:t>
            </w:r>
          </w:p>
        </w:tc>
      </w:tr>
      <w:tr w:rsidR="003B72BF" w:rsidRPr="008C7DC0" w14:paraId="718251DD" w14:textId="77777777" w:rsidTr="003B72BF">
        <w:tc>
          <w:tcPr>
            <w:tcW w:w="0" w:type="auto"/>
            <w:hideMark/>
          </w:tcPr>
          <w:p w14:paraId="16DB88BB"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2</w:t>
            </w:r>
          </w:p>
        </w:tc>
        <w:tc>
          <w:tcPr>
            <w:tcW w:w="0" w:type="auto"/>
            <w:hideMark/>
          </w:tcPr>
          <w:p w14:paraId="7F1926CD"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Moderate Conservative</w:t>
            </w:r>
          </w:p>
        </w:tc>
        <w:tc>
          <w:tcPr>
            <w:tcW w:w="0" w:type="auto"/>
            <w:hideMark/>
          </w:tcPr>
          <w:p w14:paraId="02F28182"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40–50%</w:t>
            </w:r>
          </w:p>
        </w:tc>
        <w:tc>
          <w:tcPr>
            <w:tcW w:w="0" w:type="auto"/>
            <w:hideMark/>
          </w:tcPr>
          <w:p w14:paraId="2C5F1598"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40–50%</w:t>
            </w:r>
          </w:p>
        </w:tc>
        <w:tc>
          <w:tcPr>
            <w:tcW w:w="0" w:type="auto"/>
            <w:hideMark/>
          </w:tcPr>
          <w:p w14:paraId="56CC38FE"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5–10%</w:t>
            </w:r>
          </w:p>
        </w:tc>
        <w:tc>
          <w:tcPr>
            <w:tcW w:w="0" w:type="auto"/>
            <w:hideMark/>
          </w:tcPr>
          <w:p w14:paraId="73B351C5"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18–25</w:t>
            </w:r>
          </w:p>
        </w:tc>
        <w:tc>
          <w:tcPr>
            <w:tcW w:w="0" w:type="auto"/>
            <w:hideMark/>
          </w:tcPr>
          <w:p w14:paraId="4154E92E"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4–6%</w:t>
            </w:r>
          </w:p>
        </w:tc>
      </w:tr>
      <w:tr w:rsidR="003B72BF" w:rsidRPr="008C7DC0" w14:paraId="0497DFFF" w14:textId="77777777" w:rsidTr="003B72BF">
        <w:tc>
          <w:tcPr>
            <w:tcW w:w="0" w:type="auto"/>
            <w:hideMark/>
          </w:tcPr>
          <w:p w14:paraId="2F8B886B"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3</w:t>
            </w:r>
          </w:p>
        </w:tc>
        <w:tc>
          <w:tcPr>
            <w:tcW w:w="0" w:type="auto"/>
            <w:hideMark/>
          </w:tcPr>
          <w:p w14:paraId="16FD3189"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Core</w:t>
            </w:r>
          </w:p>
        </w:tc>
        <w:tc>
          <w:tcPr>
            <w:tcW w:w="0" w:type="auto"/>
            <w:hideMark/>
          </w:tcPr>
          <w:p w14:paraId="0A62253F"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60–70%</w:t>
            </w:r>
          </w:p>
        </w:tc>
        <w:tc>
          <w:tcPr>
            <w:tcW w:w="0" w:type="auto"/>
            <w:hideMark/>
          </w:tcPr>
          <w:p w14:paraId="723B9882"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20–30%</w:t>
            </w:r>
          </w:p>
        </w:tc>
        <w:tc>
          <w:tcPr>
            <w:tcW w:w="0" w:type="auto"/>
            <w:hideMark/>
          </w:tcPr>
          <w:p w14:paraId="73569D06"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5–10%</w:t>
            </w:r>
          </w:p>
        </w:tc>
        <w:tc>
          <w:tcPr>
            <w:tcW w:w="0" w:type="auto"/>
            <w:hideMark/>
          </w:tcPr>
          <w:p w14:paraId="5CD2DB4D"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15–22</w:t>
            </w:r>
          </w:p>
        </w:tc>
        <w:tc>
          <w:tcPr>
            <w:tcW w:w="0" w:type="auto"/>
            <w:hideMark/>
          </w:tcPr>
          <w:p w14:paraId="2033F703"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5–8%</w:t>
            </w:r>
          </w:p>
        </w:tc>
      </w:tr>
      <w:tr w:rsidR="003B72BF" w:rsidRPr="008C7DC0" w14:paraId="72AC1EDC" w14:textId="77777777" w:rsidTr="003B72BF">
        <w:tc>
          <w:tcPr>
            <w:tcW w:w="0" w:type="auto"/>
            <w:hideMark/>
          </w:tcPr>
          <w:p w14:paraId="5178EC10"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4</w:t>
            </w:r>
          </w:p>
        </w:tc>
        <w:tc>
          <w:tcPr>
            <w:tcW w:w="0" w:type="auto"/>
            <w:hideMark/>
          </w:tcPr>
          <w:p w14:paraId="27050505"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Moderate Aggressive</w:t>
            </w:r>
          </w:p>
        </w:tc>
        <w:tc>
          <w:tcPr>
            <w:tcW w:w="0" w:type="auto"/>
            <w:hideMark/>
          </w:tcPr>
          <w:p w14:paraId="069E572E"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80–90%</w:t>
            </w:r>
          </w:p>
        </w:tc>
        <w:tc>
          <w:tcPr>
            <w:tcW w:w="0" w:type="auto"/>
            <w:hideMark/>
          </w:tcPr>
          <w:p w14:paraId="03832255"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5–15%</w:t>
            </w:r>
          </w:p>
        </w:tc>
        <w:tc>
          <w:tcPr>
            <w:tcW w:w="0" w:type="auto"/>
            <w:hideMark/>
          </w:tcPr>
          <w:p w14:paraId="58C8C735"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0–5%</w:t>
            </w:r>
          </w:p>
        </w:tc>
        <w:tc>
          <w:tcPr>
            <w:tcW w:w="0" w:type="auto"/>
            <w:hideMark/>
          </w:tcPr>
          <w:p w14:paraId="298F1C2A"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12–18</w:t>
            </w:r>
          </w:p>
        </w:tc>
        <w:tc>
          <w:tcPr>
            <w:tcW w:w="0" w:type="auto"/>
            <w:hideMark/>
          </w:tcPr>
          <w:p w14:paraId="72383DEA"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6–10%</w:t>
            </w:r>
          </w:p>
        </w:tc>
      </w:tr>
      <w:tr w:rsidR="003B72BF" w:rsidRPr="008C7DC0" w14:paraId="78FF662D" w14:textId="77777777" w:rsidTr="003B72BF">
        <w:tc>
          <w:tcPr>
            <w:tcW w:w="0" w:type="auto"/>
            <w:hideMark/>
          </w:tcPr>
          <w:p w14:paraId="5028CAA4"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5</w:t>
            </w:r>
          </w:p>
        </w:tc>
        <w:tc>
          <w:tcPr>
            <w:tcW w:w="0" w:type="auto"/>
            <w:hideMark/>
          </w:tcPr>
          <w:p w14:paraId="47F2E4FF"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High Growth</w:t>
            </w:r>
          </w:p>
        </w:tc>
        <w:tc>
          <w:tcPr>
            <w:tcW w:w="0" w:type="auto"/>
            <w:hideMark/>
          </w:tcPr>
          <w:p w14:paraId="4C47E84C"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95–100%</w:t>
            </w:r>
          </w:p>
        </w:tc>
        <w:tc>
          <w:tcPr>
            <w:tcW w:w="0" w:type="auto"/>
            <w:hideMark/>
          </w:tcPr>
          <w:p w14:paraId="7DA78765"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0–5%</w:t>
            </w:r>
          </w:p>
        </w:tc>
        <w:tc>
          <w:tcPr>
            <w:tcW w:w="0" w:type="auto"/>
            <w:hideMark/>
          </w:tcPr>
          <w:p w14:paraId="1F021B17"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0–5%</w:t>
            </w:r>
          </w:p>
        </w:tc>
        <w:tc>
          <w:tcPr>
            <w:tcW w:w="0" w:type="auto"/>
            <w:hideMark/>
          </w:tcPr>
          <w:p w14:paraId="2ED5FC53"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8–12</w:t>
            </w:r>
          </w:p>
        </w:tc>
        <w:tc>
          <w:tcPr>
            <w:tcW w:w="0" w:type="auto"/>
            <w:hideMark/>
          </w:tcPr>
          <w:p w14:paraId="623DD41E" w14:textId="77777777" w:rsidR="003B72BF" w:rsidRPr="008C7DC0" w:rsidRDefault="003B72BF" w:rsidP="003B72BF">
            <w:pPr>
              <w:rPr>
                <w:rFonts w:ascii="Times New Roman" w:eastAsia="Times New Roman" w:hAnsi="Times New Roman" w:cs="Times New Roman"/>
              </w:rPr>
            </w:pPr>
            <w:r w:rsidRPr="008C7DC0">
              <w:rPr>
                <w:rFonts w:ascii="Times New Roman" w:eastAsia="Times New Roman" w:hAnsi="Times New Roman" w:cs="Times New Roman"/>
              </w:rPr>
              <w:t>8–12%</w:t>
            </w:r>
          </w:p>
        </w:tc>
      </w:tr>
    </w:tbl>
    <w:p w14:paraId="0677047F" w14:textId="77190392" w:rsidR="003B72BF" w:rsidRPr="008C7DC0" w:rsidRDefault="00294381" w:rsidP="003B72BF">
      <w:pPr>
        <w:spacing w:after="0" w:line="240" w:lineRule="auto"/>
        <w:rPr>
          <w:rFonts w:ascii="Times New Roman" w:eastAsia="Times New Roman" w:hAnsi="Times New Roman" w:cs="Times New Roman"/>
        </w:rPr>
      </w:pPr>
      <w:r>
        <w:rPr>
          <w:rFonts w:ascii="Times New Roman" w:eastAsia="Times New Roman" w:hAnsi="Times New Roman" w:cs="Times New Roman"/>
          <w:noProof/>
        </w:rPr>
        <w:pict w14:anchorId="7EF687CB">
          <v:rect id="_x0000_i1027" alt="" style="width:468pt;height:.05pt;mso-width-percent:0;mso-height-percent:0;mso-width-percent:0;mso-height-percent:0" o:hralign="center" o:hrstd="t" o:hr="t" fillcolor="#a0a0a0" stroked="f"/>
        </w:pict>
      </w:r>
      <w:r w:rsidR="003B72BF" w:rsidRPr="008C7DC0">
        <w:rPr>
          <w:rFonts w:ascii="Times New Roman" w:eastAsia="Times New Roman" w:hAnsi="Times New Roman" w:cs="Times New Roman"/>
          <w:b/>
          <w:bCs/>
          <w:sz w:val="24"/>
          <w:szCs w:val="24"/>
        </w:rPr>
        <w:t>Investment Approach</w:t>
      </w:r>
    </w:p>
    <w:p w14:paraId="1EF42CEB" w14:textId="77777777" w:rsidR="003B72BF" w:rsidRPr="008C7DC0" w:rsidRDefault="003B72BF" w:rsidP="003B72BF">
      <w:pPr>
        <w:numPr>
          <w:ilvl w:val="0"/>
          <w:numId w:val="6"/>
        </w:numPr>
        <w:spacing w:before="100" w:beforeAutospacing="1" w:after="100" w:afterAutospacing="1" w:line="240" w:lineRule="auto"/>
        <w:rPr>
          <w:rFonts w:ascii="Times New Roman" w:eastAsia="Times New Roman" w:hAnsi="Times New Roman" w:cs="Times New Roman"/>
        </w:rPr>
      </w:pPr>
      <w:r w:rsidRPr="008C7DC0">
        <w:rPr>
          <w:rFonts w:ascii="Times New Roman" w:eastAsia="Times New Roman" w:hAnsi="Times New Roman" w:cs="Times New Roman"/>
          <w:b/>
          <w:bCs/>
        </w:rPr>
        <w:t>Equities:</w:t>
      </w:r>
      <w:r w:rsidRPr="008C7DC0">
        <w:rPr>
          <w:rFonts w:ascii="Times New Roman" w:eastAsia="Times New Roman" w:hAnsi="Times New Roman" w:cs="Times New Roman"/>
        </w:rPr>
        <w:t xml:space="preserve"> Publicly traded stocks and equity ETFs focused on high-quality businesses with strong fundamentals and durable competitive advantages.</w:t>
      </w:r>
    </w:p>
    <w:p w14:paraId="186BF05E" w14:textId="77777777" w:rsidR="003B72BF" w:rsidRPr="008C7DC0" w:rsidRDefault="003B72BF" w:rsidP="003B72BF">
      <w:pPr>
        <w:numPr>
          <w:ilvl w:val="0"/>
          <w:numId w:val="6"/>
        </w:numPr>
        <w:spacing w:before="100" w:beforeAutospacing="1" w:after="100" w:afterAutospacing="1" w:line="240" w:lineRule="auto"/>
        <w:rPr>
          <w:rFonts w:ascii="Times New Roman" w:eastAsia="Times New Roman" w:hAnsi="Times New Roman" w:cs="Times New Roman"/>
        </w:rPr>
      </w:pPr>
      <w:r w:rsidRPr="008C7DC0">
        <w:rPr>
          <w:rFonts w:ascii="Times New Roman" w:eastAsia="Times New Roman" w:hAnsi="Times New Roman" w:cs="Times New Roman"/>
          <w:b/>
          <w:bCs/>
        </w:rPr>
        <w:t>Fixed Income / Cash:</w:t>
      </w:r>
      <w:r w:rsidRPr="008C7DC0">
        <w:rPr>
          <w:rFonts w:ascii="Times New Roman" w:eastAsia="Times New Roman" w:hAnsi="Times New Roman" w:cs="Times New Roman"/>
        </w:rPr>
        <w:t xml:space="preserve"> Investment-grade bonds, government securities, and cash equivalents intended to dampen volatility, provide income, and preserve capital.</w:t>
      </w:r>
    </w:p>
    <w:p w14:paraId="7FF0F413" w14:textId="77777777" w:rsidR="003B72BF" w:rsidRPr="008C7DC0" w:rsidRDefault="003B72BF" w:rsidP="003B72BF">
      <w:pPr>
        <w:numPr>
          <w:ilvl w:val="0"/>
          <w:numId w:val="6"/>
        </w:numPr>
        <w:spacing w:before="100" w:beforeAutospacing="1" w:after="100" w:afterAutospacing="1" w:line="240" w:lineRule="auto"/>
        <w:rPr>
          <w:rFonts w:ascii="Times New Roman" w:eastAsia="Times New Roman" w:hAnsi="Times New Roman" w:cs="Times New Roman"/>
        </w:rPr>
      </w:pPr>
      <w:r w:rsidRPr="008C7DC0">
        <w:rPr>
          <w:rFonts w:ascii="Times New Roman" w:eastAsia="Times New Roman" w:hAnsi="Times New Roman" w:cs="Times New Roman"/>
          <w:b/>
          <w:bCs/>
        </w:rPr>
        <w:t>Alternatives:</w:t>
      </w:r>
      <w:r w:rsidRPr="008C7DC0">
        <w:rPr>
          <w:rFonts w:ascii="Times New Roman" w:eastAsia="Times New Roman" w:hAnsi="Times New Roman" w:cs="Times New Roman"/>
        </w:rPr>
        <w:t xml:space="preserve"> Select non-traditional assets (e.g., REITs, infrastructure, specialty ETFs) used opportunistically to enhance diversification.</w:t>
      </w:r>
    </w:p>
    <w:p w14:paraId="63B7ECB8" w14:textId="7801C615" w:rsidR="003B72BF" w:rsidRPr="008C7DC0" w:rsidRDefault="003B72BF" w:rsidP="003B72BF">
      <w:pPr>
        <w:spacing w:before="100" w:beforeAutospacing="1" w:after="100" w:afterAutospacing="1" w:line="240" w:lineRule="auto"/>
        <w:rPr>
          <w:rFonts w:ascii="Times New Roman" w:eastAsia="Times New Roman" w:hAnsi="Times New Roman" w:cs="Times New Roman"/>
        </w:rPr>
      </w:pPr>
      <w:r w:rsidRPr="008C7DC0">
        <w:rPr>
          <w:rFonts w:ascii="Times New Roman" w:eastAsia="Times New Roman" w:hAnsi="Times New Roman" w:cs="Times New Roman"/>
        </w:rPr>
        <w:t>Position sizes are actively managed to control downside risk and avoid over-concentration, with tighter limits in more conservative portfolios.</w:t>
      </w:r>
      <w:r w:rsidR="00294381">
        <w:rPr>
          <w:rFonts w:ascii="Times New Roman" w:eastAsia="Times New Roman" w:hAnsi="Times New Roman" w:cs="Times New Roman"/>
          <w:noProof/>
        </w:rPr>
        <w:pict w14:anchorId="3601ABDA">
          <v:rect id="_x0000_i1026" alt="" style="width:468pt;height:.05pt;mso-width-percent:0;mso-height-percent:0;mso-width-percent:0;mso-height-percent:0" o:hralign="center" o:hrstd="t" o:hr="t" fillcolor="#a0a0a0" stroked="f"/>
        </w:pict>
      </w:r>
      <w:r w:rsidRPr="008C7DC0">
        <w:rPr>
          <w:rFonts w:ascii="Times New Roman" w:eastAsia="Times New Roman" w:hAnsi="Times New Roman" w:cs="Times New Roman"/>
          <w:b/>
          <w:bCs/>
          <w:sz w:val="24"/>
          <w:szCs w:val="24"/>
        </w:rPr>
        <w:t>Risk Management &amp; Oversight</w:t>
      </w:r>
    </w:p>
    <w:p w14:paraId="5DBBAC6F" w14:textId="77777777" w:rsidR="008C7DC0" w:rsidRPr="008C7DC0" w:rsidRDefault="008C7DC0" w:rsidP="008C7DC0">
      <w:pPr>
        <w:spacing w:before="100" w:beforeAutospacing="1" w:after="100" w:afterAutospacing="1" w:line="240" w:lineRule="auto"/>
        <w:rPr>
          <w:rFonts w:ascii="Times New Roman" w:eastAsia="Times New Roman" w:hAnsi="Times New Roman" w:cs="Times New Roman"/>
        </w:rPr>
      </w:pPr>
      <w:r w:rsidRPr="008C7DC0">
        <w:rPr>
          <w:rFonts w:ascii="Times New Roman" w:eastAsia="Times New Roman" w:hAnsi="Times New Roman" w:cs="Times New Roman"/>
        </w:rPr>
        <w:t>Risk management is an integral part of Sirmium Capital’s investment process. Portfolios are constructed with an emphasis on diversification, intentional position sizing, and downside awareness. We typically maintain holding periods that are materially longer than those of the average institutional investor, allowing time for business fundamentals to play out and reducing the impact of short-term market noise.</w:t>
      </w:r>
    </w:p>
    <w:p w14:paraId="3CC96D69" w14:textId="77777777" w:rsidR="008C7DC0" w:rsidRDefault="008C7DC0" w:rsidP="008C7DC0">
      <w:pPr>
        <w:pStyle w:val="NoSpacing"/>
        <w:rPr>
          <w:rFonts w:ascii="Times New Roman" w:hAnsi="Times New Roman" w:cs="Times New Roman"/>
        </w:rPr>
      </w:pPr>
      <w:r w:rsidRPr="008C7DC0">
        <w:rPr>
          <w:rFonts w:ascii="Times New Roman" w:hAnsi="Times New Roman" w:cs="Times New Roman"/>
        </w:rPr>
        <w:t>Portfolios are monitored on an ongoing basis and reviewed periodically to ensure continued alignment with their intended risk profile. Rebalancing is implemented selectively in response to changes in fundamentals, valuations, market conditions, or client-specific circumstances, rather than short-term market movements.</w:t>
      </w:r>
      <w:r w:rsidR="00294381" w:rsidRPr="00294381">
        <w:rPr>
          <w:rFonts w:ascii="Times New Roman" w:hAnsi="Times New Roman" w:cs="Times New Roman"/>
          <w:noProof/>
        </w:rPr>
        <w:pict w14:anchorId="362A4D7D">
          <v:rect id="_x0000_i1025" alt="" style="width:468pt;height:.05pt;mso-width-percent:0;mso-height-percent:0;mso-width-percent:0;mso-height-percent:0" o:hralign="center" o:hrstd="t" o:hr="t" fillcolor="#a0a0a0" stroked="f"/>
        </w:pict>
      </w:r>
    </w:p>
    <w:p w14:paraId="7549AB9B" w14:textId="77777777" w:rsidR="008C7DC0" w:rsidRPr="008C7DC0" w:rsidRDefault="008C7DC0" w:rsidP="008C7DC0">
      <w:pPr>
        <w:pStyle w:val="NoSpacing"/>
        <w:rPr>
          <w:rFonts w:ascii="Times New Roman" w:hAnsi="Times New Roman" w:cs="Times New Roman"/>
          <w:sz w:val="11"/>
          <w:szCs w:val="11"/>
        </w:rPr>
      </w:pPr>
    </w:p>
    <w:p w14:paraId="7B57AA05" w14:textId="1B824A17" w:rsidR="008E1C4D" w:rsidRPr="008C7DC0" w:rsidRDefault="008C7DC0" w:rsidP="008C7DC0">
      <w:pPr>
        <w:pStyle w:val="NoSpacing"/>
        <w:rPr>
          <w:rFonts w:ascii="Times New Roman" w:eastAsia="Times New Roman" w:hAnsi="Times New Roman" w:cs="Times New Roman"/>
          <w:b/>
          <w:bCs/>
          <w:sz w:val="24"/>
          <w:szCs w:val="24"/>
        </w:rPr>
      </w:pPr>
      <w:r w:rsidRPr="008C7DC0">
        <w:rPr>
          <w:rFonts w:ascii="Times New Roman" w:hAnsi="Times New Roman" w:cs="Times New Roman"/>
          <w:i/>
          <w:iCs/>
          <w:noProof/>
          <w:sz w:val="20"/>
          <w:szCs w:val="20"/>
        </w:rPr>
        <w:drawing>
          <wp:anchor distT="36576" distB="36576" distL="36576" distR="36576" simplePos="0" relativeHeight="251668480" behindDoc="0" locked="0" layoutInCell="1" allowOverlap="1" wp14:anchorId="3BA6F719" wp14:editId="163FCD6B">
            <wp:simplePos x="0" y="0"/>
            <wp:positionH relativeFrom="column">
              <wp:posOffset>0</wp:posOffset>
            </wp:positionH>
            <wp:positionV relativeFrom="page">
              <wp:posOffset>9613900</wp:posOffset>
            </wp:positionV>
            <wp:extent cx="7321550" cy="285750"/>
            <wp:effectExtent l="0" t="0" r="6350" b="6350"/>
            <wp:wrapNone/>
            <wp:docPr id="75" name="Picture 75" descr="TC9990301-IMG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C9990301-IMG04"/>
                    <pic:cNvPicPr preferRelativeResize="0">
                      <a:picLocks noChangeAspect="1" noChangeArrowheads="1"/>
                    </pic:cNvPicPr>
                  </pic:nvPicPr>
                  <pic:blipFill rotWithShape="1">
                    <a:blip r:embed="rId8" cstate="print">
                      <a:extLst>
                        <a:ext uri="{28A0092B-C50C-407E-A947-70E740481C1C}">
                          <a14:useLocalDpi xmlns:a14="http://schemas.microsoft.com/office/drawing/2010/main" val="0"/>
                        </a:ext>
                      </a:extLst>
                    </a:blip>
                    <a:srcRect l="24497" t="670" r="28671" b="92232"/>
                    <a:stretch/>
                  </pic:blipFill>
                  <pic:spPr bwMode="auto">
                    <a:xfrm>
                      <a:off x="0" y="0"/>
                      <a:ext cx="7321550" cy="28575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C7DC0">
        <w:rPr>
          <w:rFonts w:ascii="Times New Roman" w:hAnsi="Times New Roman" w:cs="Times New Roman"/>
          <w:i/>
          <w:iCs/>
          <w:noProof/>
          <w:sz w:val="20"/>
          <w:szCs w:val="20"/>
        </w:rPr>
        <mc:AlternateContent>
          <mc:Choice Requires="wps">
            <w:drawing>
              <wp:anchor distT="36576" distB="36576" distL="36576" distR="36576" simplePos="0" relativeHeight="251669504" behindDoc="0" locked="0" layoutInCell="1" allowOverlap="1" wp14:anchorId="4BB8A535" wp14:editId="61DDD4F6">
                <wp:simplePos x="0" y="0"/>
                <wp:positionH relativeFrom="column">
                  <wp:posOffset>101600</wp:posOffset>
                </wp:positionH>
                <wp:positionV relativeFrom="page">
                  <wp:posOffset>9646708</wp:posOffset>
                </wp:positionV>
                <wp:extent cx="7111365" cy="219710"/>
                <wp:effectExtent l="0" t="0" r="0" b="0"/>
                <wp:wrapNone/>
                <wp:docPr id="7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1365" cy="21971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B68D609" w14:textId="77777777" w:rsidR="003B72BF" w:rsidRPr="003B72BF" w:rsidRDefault="003B72BF" w:rsidP="003B72BF">
                            <w:pPr>
                              <w:spacing w:before="100" w:beforeAutospacing="1" w:after="100" w:afterAutospacing="1" w:line="240" w:lineRule="auto"/>
                              <w:jc w:val="right"/>
                              <w:rPr>
                                <w:rFonts w:ascii="Times New Roman" w:eastAsia="Times New Roman" w:hAnsi="Times New Roman" w:cs="Times New Roman"/>
                                <w:color w:val="FFFFFF" w:themeColor="background1"/>
                              </w:rPr>
                            </w:pPr>
                            <w:r w:rsidRPr="003B72BF">
                              <w:rPr>
                                <w:rFonts w:ascii="Times New Roman" w:eastAsia="Times New Roman" w:hAnsi="Times New Roman" w:cs="Times New Roman"/>
                                <w:b/>
                                <w:bCs/>
                                <w:color w:val="FFFFFF" w:themeColor="background1"/>
                              </w:rPr>
                              <w:t>Sirmium Capital, LLC</w:t>
                            </w:r>
                            <w:r w:rsidRPr="003B72BF">
                              <w:rPr>
                                <w:rFonts w:ascii="Times New Roman" w:eastAsia="Times New Roman" w:hAnsi="Times New Roman" w:cs="Times New Roman"/>
                                <w:color w:val="FFFFFF" w:themeColor="background1"/>
                              </w:rPr>
                              <w:t xml:space="preserve"> | Independent Investment Advisory</w:t>
                            </w:r>
                          </w:p>
                          <w:p w14:paraId="7FFFF505" w14:textId="7945F22E" w:rsidR="003B72BF" w:rsidRDefault="003B72BF" w:rsidP="003B72BF">
                            <w:pPr>
                              <w:widowControl w:val="0"/>
                              <w:spacing w:line="240" w:lineRule="exact"/>
                              <w:jc w:val="right"/>
                              <w:rPr>
                                <w:rFonts w:ascii="Arial" w:hAnsi="Arial" w:cs="Arial"/>
                                <w:color w:val="FFFFFE"/>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8A535" id="_x0000_t202" coordsize="21600,21600" o:spt="202" path="m,l,21600r21600,l21600,xe">
                <v:stroke joinstyle="miter"/>
                <v:path gradientshapeok="t" o:connecttype="rect"/>
              </v:shapetype>
              <v:shape id="Text Box 43" o:spid="_x0000_s1027" type="#_x0000_t202" style="position:absolute;margin-left:8pt;margin-top:759.6pt;width:559.95pt;height:17.3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" filled="f" fillcolor="#fffffe" stroked="f" strokecolor="#212120" insetpen="t">
                <v:textbox inset="2.88pt,2.88pt,2.88pt,2.88pt">
                  <w:txbxContent>
                    <w:p w14:paraId="0B68D609" w14:textId="77777777" w:rsidR="003B72BF" w:rsidRPr="003B72BF" w:rsidRDefault="003B72BF" w:rsidP="003B72BF">
                      <w:pPr>
                        <w:spacing w:before="100" w:beforeAutospacing="1" w:after="100" w:afterAutospacing="1" w:line="240" w:lineRule="auto"/>
                        <w:jc w:val="right"/>
                        <w:rPr>
                          <w:rFonts w:ascii="Times New Roman" w:eastAsia="Times New Roman" w:hAnsi="Times New Roman" w:cs="Times New Roman"/>
                          <w:color w:val="FFFFFF" w:themeColor="background1"/>
                        </w:rPr>
                      </w:pPr>
                      <w:r w:rsidRPr="003B72BF">
                        <w:rPr>
                          <w:rFonts w:ascii="Times New Roman" w:eastAsia="Times New Roman" w:hAnsi="Times New Roman" w:cs="Times New Roman"/>
                          <w:b/>
                          <w:bCs/>
                          <w:color w:val="FFFFFF" w:themeColor="background1"/>
                        </w:rPr>
                        <w:t>Sirmium Capital, LLC</w:t>
                      </w:r>
                      <w:r w:rsidRPr="003B72BF">
                        <w:rPr>
                          <w:rFonts w:ascii="Times New Roman" w:eastAsia="Times New Roman" w:hAnsi="Times New Roman" w:cs="Times New Roman"/>
                          <w:color w:val="FFFFFF" w:themeColor="background1"/>
                        </w:rPr>
                        <w:t xml:space="preserve"> | Independent Investment Advisory</w:t>
                      </w:r>
                    </w:p>
                    <w:p w14:paraId="7FFFF505" w14:textId="7945F22E" w:rsidR="003B72BF" w:rsidRDefault="003B72BF" w:rsidP="003B72BF">
                      <w:pPr>
                        <w:widowControl w:val="0"/>
                        <w:spacing w:line="240" w:lineRule="exact"/>
                        <w:jc w:val="right"/>
                        <w:rPr>
                          <w:rFonts w:ascii="Arial" w:hAnsi="Arial" w:cs="Arial"/>
                          <w:color w:val="FFFFFE"/>
                          <w:lang w:val="en"/>
                        </w:rPr>
                      </w:pPr>
                    </w:p>
                  </w:txbxContent>
                </v:textbox>
                <w10:wrap anchory="page"/>
              </v:shape>
            </w:pict>
          </mc:Fallback>
        </mc:AlternateContent>
      </w:r>
      <w:r w:rsidR="003B72BF" w:rsidRPr="008C7DC0">
        <w:rPr>
          <w:rFonts w:ascii="Times New Roman" w:eastAsia="Times New Roman" w:hAnsi="Times New Roman" w:cs="Times New Roman"/>
          <w:b/>
          <w:bCs/>
          <w:i/>
          <w:iCs/>
          <w:sz w:val="24"/>
          <w:szCs w:val="24"/>
        </w:rPr>
        <w:t>Disclosures</w:t>
      </w:r>
      <w:r w:rsidRPr="008C7DC0">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sz w:val="24"/>
          <w:szCs w:val="24"/>
        </w:rPr>
        <w:t xml:space="preserve"> </w:t>
      </w:r>
      <w:r w:rsidRPr="008C7DC0">
        <w:rPr>
          <w:rFonts w:ascii="Times New Roman" w:hAnsi="Times New Roman" w:cs="Times New Roman"/>
          <w:i/>
          <w:iCs/>
          <w:sz w:val="21"/>
          <w:szCs w:val="21"/>
        </w:rPr>
        <w:t>Past performance is not indicative of future results. All investing involves risk, including the potential loss of principal. Allocation ranges represent targets and are subject to change. This factsheet is provided for informational purposes only and does not constitute investment advice or a solicitation to buy or sell securities. For additional information regarding services, fees, and risks, please refer to Sirmium Capital, LLC’s Form ADV Part 2A.</w:t>
      </w:r>
    </w:p>
    <w:sectPr w:rsidR="008E1C4D" w:rsidRPr="008C7DC0" w:rsidSect="00A627DA">
      <w:footerReference w:type="default" r:id="rId9"/>
      <w:pgSz w:w="12240" w:h="15840"/>
      <w:pgMar w:top="360" w:right="360" w:bottom="360" w:left="360" w:header="720" w:footer="3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1758" w14:textId="77777777" w:rsidR="00294381" w:rsidRDefault="00294381" w:rsidP="00AA544E">
      <w:pPr>
        <w:spacing w:after="0" w:line="240" w:lineRule="auto"/>
      </w:pPr>
      <w:r>
        <w:separator/>
      </w:r>
    </w:p>
  </w:endnote>
  <w:endnote w:type="continuationSeparator" w:id="0">
    <w:p w14:paraId="562227B6" w14:textId="77777777" w:rsidR="00294381" w:rsidRDefault="00294381" w:rsidP="00AA5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1E7A" w14:textId="0F417CA2" w:rsidR="00A627DA" w:rsidRDefault="00A627DA" w:rsidP="00A627D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05D8D" w14:textId="77777777" w:rsidR="00294381" w:rsidRDefault="00294381" w:rsidP="00AA544E">
      <w:pPr>
        <w:spacing w:after="0" w:line="240" w:lineRule="auto"/>
      </w:pPr>
      <w:r>
        <w:separator/>
      </w:r>
    </w:p>
  </w:footnote>
  <w:footnote w:type="continuationSeparator" w:id="0">
    <w:p w14:paraId="1A687F50" w14:textId="77777777" w:rsidR="00294381" w:rsidRDefault="00294381" w:rsidP="00AA54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1781D"/>
    <w:multiLevelType w:val="hybridMultilevel"/>
    <w:tmpl w:val="5C6C27DA"/>
    <w:lvl w:ilvl="0" w:tplc="D4C2A5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D28E2"/>
    <w:multiLevelType w:val="multilevel"/>
    <w:tmpl w:val="2F52B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A5F65"/>
    <w:multiLevelType w:val="hybridMultilevel"/>
    <w:tmpl w:val="B7DC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1A3DF9"/>
    <w:multiLevelType w:val="hybridMultilevel"/>
    <w:tmpl w:val="81D4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EF47E4"/>
    <w:multiLevelType w:val="hybridMultilevel"/>
    <w:tmpl w:val="423097B6"/>
    <w:lvl w:ilvl="0" w:tplc="72EC5E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34B30"/>
    <w:multiLevelType w:val="multilevel"/>
    <w:tmpl w:val="6C12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D570FF"/>
    <w:multiLevelType w:val="hybridMultilevel"/>
    <w:tmpl w:val="53AA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712833">
    <w:abstractNumId w:val="0"/>
  </w:num>
  <w:num w:numId="2" w16cid:durableId="738527056">
    <w:abstractNumId w:val="4"/>
  </w:num>
  <w:num w:numId="3" w16cid:durableId="1159535172">
    <w:abstractNumId w:val="2"/>
  </w:num>
  <w:num w:numId="4" w16cid:durableId="1494024791">
    <w:abstractNumId w:val="6"/>
  </w:num>
  <w:num w:numId="5" w16cid:durableId="775061260">
    <w:abstractNumId w:val="3"/>
  </w:num>
  <w:num w:numId="6" w16cid:durableId="730468911">
    <w:abstractNumId w:val="1"/>
  </w:num>
  <w:num w:numId="7" w16cid:durableId="2981448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hideSpellingErrors/>
  <w:hideGrammaticalErrors/>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E2"/>
    <w:rsid w:val="00007B1D"/>
    <w:rsid w:val="000111E2"/>
    <w:rsid w:val="00023E48"/>
    <w:rsid w:val="000321DE"/>
    <w:rsid w:val="000340F8"/>
    <w:rsid w:val="00036A07"/>
    <w:rsid w:val="00042660"/>
    <w:rsid w:val="00092995"/>
    <w:rsid w:val="0009421B"/>
    <w:rsid w:val="000B0462"/>
    <w:rsid w:val="000D1524"/>
    <w:rsid w:val="000D5A19"/>
    <w:rsid w:val="000E06B2"/>
    <w:rsid w:val="00116AF2"/>
    <w:rsid w:val="00126A53"/>
    <w:rsid w:val="00142870"/>
    <w:rsid w:val="001706C0"/>
    <w:rsid w:val="00175732"/>
    <w:rsid w:val="001B531F"/>
    <w:rsid w:val="001F06C1"/>
    <w:rsid w:val="001F1695"/>
    <w:rsid w:val="00202148"/>
    <w:rsid w:val="0020734B"/>
    <w:rsid w:val="0021289D"/>
    <w:rsid w:val="0022650E"/>
    <w:rsid w:val="00226C70"/>
    <w:rsid w:val="00246BF9"/>
    <w:rsid w:val="002656D6"/>
    <w:rsid w:val="00271BE8"/>
    <w:rsid w:val="00280D76"/>
    <w:rsid w:val="00292EA6"/>
    <w:rsid w:val="00294381"/>
    <w:rsid w:val="002A046E"/>
    <w:rsid w:val="002A0B7E"/>
    <w:rsid w:val="002A306E"/>
    <w:rsid w:val="002B2411"/>
    <w:rsid w:val="002E3C0B"/>
    <w:rsid w:val="00321191"/>
    <w:rsid w:val="003303CD"/>
    <w:rsid w:val="00337F40"/>
    <w:rsid w:val="00343FE6"/>
    <w:rsid w:val="00360BCE"/>
    <w:rsid w:val="00366D0B"/>
    <w:rsid w:val="003A5870"/>
    <w:rsid w:val="003B0914"/>
    <w:rsid w:val="003B1AC4"/>
    <w:rsid w:val="003B72BF"/>
    <w:rsid w:val="003C1447"/>
    <w:rsid w:val="003E2901"/>
    <w:rsid w:val="003F5005"/>
    <w:rsid w:val="0040112A"/>
    <w:rsid w:val="00402616"/>
    <w:rsid w:val="004073FB"/>
    <w:rsid w:val="00421260"/>
    <w:rsid w:val="00445E81"/>
    <w:rsid w:val="00454B8E"/>
    <w:rsid w:val="00493125"/>
    <w:rsid w:val="004A20B5"/>
    <w:rsid w:val="004D08CE"/>
    <w:rsid w:val="0051032D"/>
    <w:rsid w:val="00517F20"/>
    <w:rsid w:val="005233D4"/>
    <w:rsid w:val="00526DB7"/>
    <w:rsid w:val="005412B0"/>
    <w:rsid w:val="00553A46"/>
    <w:rsid w:val="00571BC4"/>
    <w:rsid w:val="00587F77"/>
    <w:rsid w:val="005B4ABB"/>
    <w:rsid w:val="005C112A"/>
    <w:rsid w:val="005F72FD"/>
    <w:rsid w:val="00636155"/>
    <w:rsid w:val="0064795B"/>
    <w:rsid w:val="006919C0"/>
    <w:rsid w:val="00692CDC"/>
    <w:rsid w:val="006A5E48"/>
    <w:rsid w:val="006B28C0"/>
    <w:rsid w:val="006F2F4B"/>
    <w:rsid w:val="007423DD"/>
    <w:rsid w:val="00744512"/>
    <w:rsid w:val="00776B81"/>
    <w:rsid w:val="00780475"/>
    <w:rsid w:val="0079113D"/>
    <w:rsid w:val="00795513"/>
    <w:rsid w:val="0079643B"/>
    <w:rsid w:val="00797E3E"/>
    <w:rsid w:val="007E57FB"/>
    <w:rsid w:val="0084148B"/>
    <w:rsid w:val="00853173"/>
    <w:rsid w:val="008537C2"/>
    <w:rsid w:val="00870B1C"/>
    <w:rsid w:val="00881D19"/>
    <w:rsid w:val="008C7DC0"/>
    <w:rsid w:val="008E1C4D"/>
    <w:rsid w:val="00920FD8"/>
    <w:rsid w:val="00955368"/>
    <w:rsid w:val="00981865"/>
    <w:rsid w:val="009C318F"/>
    <w:rsid w:val="00A046B2"/>
    <w:rsid w:val="00A376E3"/>
    <w:rsid w:val="00A625B9"/>
    <w:rsid w:val="00A627DA"/>
    <w:rsid w:val="00A96557"/>
    <w:rsid w:val="00AA544E"/>
    <w:rsid w:val="00AA7EAF"/>
    <w:rsid w:val="00AB4520"/>
    <w:rsid w:val="00AC05A8"/>
    <w:rsid w:val="00AF166D"/>
    <w:rsid w:val="00AF1953"/>
    <w:rsid w:val="00B06E2B"/>
    <w:rsid w:val="00B2273C"/>
    <w:rsid w:val="00B50210"/>
    <w:rsid w:val="00B8020B"/>
    <w:rsid w:val="00B948E3"/>
    <w:rsid w:val="00BA607A"/>
    <w:rsid w:val="00BA6C7A"/>
    <w:rsid w:val="00BD77AD"/>
    <w:rsid w:val="00BE2938"/>
    <w:rsid w:val="00BE34A5"/>
    <w:rsid w:val="00C00E85"/>
    <w:rsid w:val="00C041BF"/>
    <w:rsid w:val="00C30D1D"/>
    <w:rsid w:val="00C31908"/>
    <w:rsid w:val="00C44A47"/>
    <w:rsid w:val="00C55821"/>
    <w:rsid w:val="00C86997"/>
    <w:rsid w:val="00CA5C0E"/>
    <w:rsid w:val="00CB5EA2"/>
    <w:rsid w:val="00CF2880"/>
    <w:rsid w:val="00D4497E"/>
    <w:rsid w:val="00D47940"/>
    <w:rsid w:val="00D80117"/>
    <w:rsid w:val="00D80D56"/>
    <w:rsid w:val="00D92D72"/>
    <w:rsid w:val="00D96C60"/>
    <w:rsid w:val="00DA3DF4"/>
    <w:rsid w:val="00DA5579"/>
    <w:rsid w:val="00DD7FAC"/>
    <w:rsid w:val="00DE7BBF"/>
    <w:rsid w:val="00E12EE2"/>
    <w:rsid w:val="00E16196"/>
    <w:rsid w:val="00E17CE6"/>
    <w:rsid w:val="00E30EE3"/>
    <w:rsid w:val="00E40DEC"/>
    <w:rsid w:val="00EA146D"/>
    <w:rsid w:val="00EA5CA5"/>
    <w:rsid w:val="00EB4219"/>
    <w:rsid w:val="00EC159D"/>
    <w:rsid w:val="00EC3B79"/>
    <w:rsid w:val="00EF156F"/>
    <w:rsid w:val="00F06D1C"/>
    <w:rsid w:val="00F102A7"/>
    <w:rsid w:val="00F27FDE"/>
    <w:rsid w:val="00F32CAA"/>
    <w:rsid w:val="00F447AC"/>
    <w:rsid w:val="00F61931"/>
    <w:rsid w:val="00F67911"/>
    <w:rsid w:val="00FA5842"/>
    <w:rsid w:val="00FB7927"/>
    <w:rsid w:val="00FD36BB"/>
    <w:rsid w:val="00FD6454"/>
    <w:rsid w:val="00FD65A2"/>
    <w:rsid w:val="00FE1ADE"/>
    <w:rsid w:val="00FE3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9288C"/>
  <w15:chartTrackingRefBased/>
  <w15:docId w15:val="{D0D68FE8-A9DD-5244-B880-50312749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B72B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B72B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B72B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520"/>
    <w:pPr>
      <w:ind w:left="720"/>
      <w:contextualSpacing/>
    </w:pPr>
  </w:style>
  <w:style w:type="paragraph" w:styleId="Header">
    <w:name w:val="header"/>
    <w:basedOn w:val="Normal"/>
    <w:link w:val="HeaderChar"/>
    <w:uiPriority w:val="99"/>
    <w:unhideWhenUsed/>
    <w:rsid w:val="00280D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D76"/>
  </w:style>
  <w:style w:type="paragraph" w:styleId="Footer">
    <w:name w:val="footer"/>
    <w:basedOn w:val="Normal"/>
    <w:link w:val="FooterChar"/>
    <w:uiPriority w:val="99"/>
    <w:unhideWhenUsed/>
    <w:rsid w:val="00280D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D76"/>
  </w:style>
  <w:style w:type="character" w:styleId="Hyperlink">
    <w:name w:val="Hyperlink"/>
    <w:basedOn w:val="DefaultParagraphFont"/>
    <w:uiPriority w:val="99"/>
    <w:unhideWhenUsed/>
    <w:rsid w:val="00A627DA"/>
    <w:rPr>
      <w:color w:val="0563C1" w:themeColor="hyperlink"/>
      <w:u w:val="single"/>
    </w:rPr>
  </w:style>
  <w:style w:type="character" w:styleId="UnresolvedMention">
    <w:name w:val="Unresolved Mention"/>
    <w:basedOn w:val="DefaultParagraphFont"/>
    <w:uiPriority w:val="99"/>
    <w:semiHidden/>
    <w:unhideWhenUsed/>
    <w:rsid w:val="00A627DA"/>
    <w:rPr>
      <w:color w:val="605E5C"/>
      <w:shd w:val="clear" w:color="auto" w:fill="E1DFDD"/>
    </w:rPr>
  </w:style>
  <w:style w:type="paragraph" w:styleId="NormalWeb">
    <w:name w:val="Normal (Web)"/>
    <w:basedOn w:val="Normal"/>
    <w:uiPriority w:val="99"/>
    <w:unhideWhenUsed/>
    <w:rsid w:val="00D92D7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2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5">
    <w:name w:val="List Table 3 Accent 5"/>
    <w:basedOn w:val="TableNormal"/>
    <w:uiPriority w:val="48"/>
    <w:rsid w:val="00B5021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NoSpacing">
    <w:name w:val="No Spacing"/>
    <w:uiPriority w:val="1"/>
    <w:qFormat/>
    <w:rsid w:val="000321DE"/>
    <w:pPr>
      <w:spacing w:after="0" w:line="240" w:lineRule="auto"/>
    </w:pPr>
  </w:style>
  <w:style w:type="character" w:customStyle="1" w:styleId="ms-1">
    <w:name w:val="ms-1"/>
    <w:basedOn w:val="DefaultParagraphFont"/>
    <w:rsid w:val="00797E3E"/>
  </w:style>
  <w:style w:type="character" w:customStyle="1" w:styleId="max-w-15ch">
    <w:name w:val="max-w-[15ch]"/>
    <w:basedOn w:val="DefaultParagraphFont"/>
    <w:rsid w:val="00797E3E"/>
  </w:style>
  <w:style w:type="character" w:customStyle="1" w:styleId="-me-1">
    <w:name w:val="-me-1"/>
    <w:basedOn w:val="DefaultParagraphFont"/>
    <w:rsid w:val="00797E3E"/>
  </w:style>
  <w:style w:type="character" w:customStyle="1" w:styleId="Heading1Char">
    <w:name w:val="Heading 1 Char"/>
    <w:basedOn w:val="DefaultParagraphFont"/>
    <w:link w:val="Heading1"/>
    <w:uiPriority w:val="9"/>
    <w:rsid w:val="003B72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B72B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B72BF"/>
    <w:rPr>
      <w:rFonts w:ascii="Times New Roman" w:eastAsia="Times New Roman" w:hAnsi="Times New Roman" w:cs="Times New Roman"/>
      <w:b/>
      <w:bCs/>
      <w:sz w:val="27"/>
      <w:szCs w:val="27"/>
    </w:rPr>
  </w:style>
  <w:style w:type="character" w:styleId="Strong">
    <w:name w:val="Strong"/>
    <w:basedOn w:val="DefaultParagraphFont"/>
    <w:uiPriority w:val="22"/>
    <w:qFormat/>
    <w:rsid w:val="003B72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williamharrison/Library/Containers/com.microsoft.Word/Data/Library/Application%20Support/Microsoft/Office/16.0/DTS/Search/%7b7D19F28E-6498-F645-A253-A201C6F49F32%7dtf16402903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14360-A0B3-4F4E-9083-8AB623A6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{7D19F28E-6498-F645-A253-A201C6F49F32}tf16402903_win32.dotx</Template>
  <TotalTime>14</TotalTime>
  <Pages>1</Pages>
  <Words>418</Words>
  <Characters>2388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Harrison</dc:creator>
  <cp:keywords/>
  <dc:description/>
  <cp:lastModifiedBy>William Harrison</cp:lastModifiedBy>
  <cp:revision>7</cp:revision>
  <cp:lastPrinted>2026-01-12T15:20:00Z</cp:lastPrinted>
  <dcterms:created xsi:type="dcterms:W3CDTF">2026-01-12T15:20:00Z</dcterms:created>
  <dcterms:modified xsi:type="dcterms:W3CDTF">2026-02-11T21:07:00Z</dcterms:modified>
</cp:coreProperties>
</file>